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5" w:rsidRPr="007435ED" w:rsidRDefault="00077A6F" w:rsidP="007435ED">
      <w:pPr>
        <w:pStyle w:val="2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7435ED">
        <w:rPr>
          <w:spacing w:val="0"/>
          <w:sz w:val="28"/>
          <w:szCs w:val="28"/>
        </w:rPr>
        <w:t>Перечень вопросов к зачету</w:t>
      </w:r>
      <w:r w:rsidR="0015381C">
        <w:rPr>
          <w:spacing w:val="0"/>
          <w:sz w:val="28"/>
          <w:szCs w:val="28"/>
        </w:rPr>
        <w:t xml:space="preserve"> </w:t>
      </w:r>
      <w:proofErr w:type="spellStart"/>
      <w:r w:rsidR="0015381C">
        <w:rPr>
          <w:spacing w:val="0"/>
          <w:sz w:val="28"/>
          <w:szCs w:val="28"/>
        </w:rPr>
        <w:t>Ксенобиология</w:t>
      </w:r>
      <w:proofErr w:type="spellEnd"/>
      <w:r w:rsidR="0015381C">
        <w:rPr>
          <w:spacing w:val="0"/>
          <w:sz w:val="28"/>
          <w:szCs w:val="28"/>
        </w:rPr>
        <w:t xml:space="preserve"> 4курс БиХ</w:t>
      </w:r>
      <w:bookmarkStart w:id="0" w:name="_GoBack"/>
      <w:bookmarkEnd w:id="0"/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Масштабы и причины химического загрязнения биосферы.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Основные типы глобального химического загрязнения, их токсикологическая и экологическая характеристики.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Предмет </w:t>
      </w:r>
      <w:proofErr w:type="spellStart"/>
      <w:r w:rsidRPr="007435ED">
        <w:rPr>
          <w:sz w:val="28"/>
          <w:szCs w:val="28"/>
        </w:rPr>
        <w:t>ксенобиологии</w:t>
      </w:r>
      <w:proofErr w:type="spellEnd"/>
      <w:r w:rsidRPr="007435ED">
        <w:rPr>
          <w:sz w:val="28"/>
          <w:szCs w:val="28"/>
        </w:rPr>
        <w:t xml:space="preserve">. Основные проблемы и задачи современной </w:t>
      </w:r>
      <w:proofErr w:type="spellStart"/>
      <w:r w:rsidRPr="007435ED">
        <w:rPr>
          <w:sz w:val="28"/>
          <w:szCs w:val="28"/>
        </w:rPr>
        <w:t>ксенобиологии</w:t>
      </w:r>
      <w:proofErr w:type="spellEnd"/>
      <w:r w:rsidRPr="007435ED">
        <w:rPr>
          <w:sz w:val="28"/>
          <w:szCs w:val="28"/>
        </w:rPr>
        <w:t>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История поиска биологически активных веществ.</w:t>
      </w:r>
    </w:p>
    <w:p w:rsidR="00DD3EA5" w:rsidRPr="007435ED" w:rsidRDefault="00077A6F" w:rsidP="007435ED">
      <w:pPr>
        <w:pStyle w:val="1"/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Формирование представлений о биологической активности веществ, разнообразие видов и классификация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 xml:space="preserve"> по видам биологической активности.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Понятие о токсическом действии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>; приемы классификации.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Ионизация, ее природа, константа и степень ионизации, связь с биологической активностью веществ.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Роль биологически активных веществ в будущем и прогнозы их использования.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Типы </w:t>
      </w:r>
      <w:proofErr w:type="spellStart"/>
      <w:r w:rsidRPr="007435ED">
        <w:rPr>
          <w:sz w:val="28"/>
          <w:szCs w:val="28"/>
        </w:rPr>
        <w:t>мембранотропности</w:t>
      </w:r>
      <w:proofErr w:type="spellEnd"/>
      <w:r w:rsidRPr="007435ED">
        <w:rPr>
          <w:sz w:val="28"/>
          <w:szCs w:val="28"/>
        </w:rPr>
        <w:t xml:space="preserve">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 xml:space="preserve"> и химические связи, определяющие взаимодействие ксенобиотика с </w:t>
      </w:r>
      <w:proofErr w:type="spellStart"/>
      <w:r w:rsidRPr="007435ED">
        <w:rPr>
          <w:sz w:val="28"/>
          <w:szCs w:val="28"/>
        </w:rPr>
        <w:t>мембранактивными</w:t>
      </w:r>
      <w:proofErr w:type="spellEnd"/>
      <w:r w:rsidRPr="007435ED">
        <w:rPr>
          <w:sz w:val="28"/>
          <w:szCs w:val="28"/>
        </w:rPr>
        <w:t xml:space="preserve"> структурами.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Адсорбция, </w:t>
      </w:r>
      <w:proofErr w:type="spellStart"/>
      <w:r w:rsidRPr="007435ED">
        <w:rPr>
          <w:sz w:val="28"/>
          <w:szCs w:val="28"/>
        </w:rPr>
        <w:t>кооперативность</w:t>
      </w:r>
      <w:proofErr w:type="spellEnd"/>
      <w:r w:rsidRPr="007435ED">
        <w:rPr>
          <w:sz w:val="28"/>
          <w:szCs w:val="28"/>
        </w:rPr>
        <w:t xml:space="preserve"> связывания. Модель «</w:t>
      </w:r>
      <w:proofErr w:type="spellStart"/>
      <w:r w:rsidRPr="007435ED">
        <w:rPr>
          <w:sz w:val="28"/>
          <w:szCs w:val="28"/>
        </w:rPr>
        <w:t>биофазы</w:t>
      </w:r>
      <w:proofErr w:type="spellEnd"/>
      <w:r w:rsidRPr="007435ED">
        <w:rPr>
          <w:sz w:val="28"/>
          <w:szCs w:val="28"/>
        </w:rPr>
        <w:t>». Многоканальная система передачи сигнала.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Особенности </w:t>
      </w:r>
      <w:proofErr w:type="spellStart"/>
      <w:r w:rsidRPr="007435ED">
        <w:rPr>
          <w:sz w:val="28"/>
          <w:szCs w:val="28"/>
        </w:rPr>
        <w:t>мембранотропных</w:t>
      </w:r>
      <w:proofErr w:type="spellEnd"/>
      <w:r w:rsidRPr="007435ED">
        <w:rPr>
          <w:sz w:val="28"/>
          <w:szCs w:val="28"/>
        </w:rPr>
        <w:t xml:space="preserve"> эффектов и развитие реакции на действие поверхностно-активных веществ. Антагонизм и синергизм.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Механизмы транспорта: пассивная и облегченная диффузия, активный перенос, </w:t>
      </w:r>
      <w:proofErr w:type="spellStart"/>
      <w:r w:rsidRPr="007435ED">
        <w:rPr>
          <w:sz w:val="28"/>
          <w:szCs w:val="28"/>
        </w:rPr>
        <w:t>редокс</w:t>
      </w:r>
      <w:proofErr w:type="spellEnd"/>
      <w:r w:rsidRPr="007435ED">
        <w:rPr>
          <w:sz w:val="28"/>
          <w:szCs w:val="28"/>
        </w:rPr>
        <w:t>-цепи, пиноцитоз и фагоцитоз.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Структурное строение отдельных транспортных систем биологических мембран (канал, переносчик, помпа). Проницаемость мембран к различным веществам.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Влияние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 xml:space="preserve"> на барьерно-</w:t>
      </w:r>
      <w:proofErr w:type="spellStart"/>
      <w:r w:rsidRPr="007435ED">
        <w:rPr>
          <w:sz w:val="28"/>
          <w:szCs w:val="28"/>
        </w:rPr>
        <w:t>транспоргные</w:t>
      </w:r>
      <w:proofErr w:type="spellEnd"/>
      <w:r w:rsidRPr="007435ED">
        <w:rPr>
          <w:sz w:val="28"/>
          <w:szCs w:val="28"/>
        </w:rPr>
        <w:t xml:space="preserve"> свойства мембраны и физико-химические характеристики цитоплазмы.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Пути поступления и выведения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>.</w:t>
      </w:r>
    </w:p>
    <w:p w:rsidR="00DD3EA5" w:rsidRPr="007435ED" w:rsidRDefault="00077A6F" w:rsidP="007435ED">
      <w:pPr>
        <w:pStyle w:val="1"/>
        <w:shd w:val="clear" w:color="auto" w:fill="auto"/>
        <w:tabs>
          <w:tab w:val="left" w:pos="4345"/>
        </w:tabs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Общая схема процесса </w:t>
      </w:r>
      <w:proofErr w:type="spellStart"/>
      <w:r w:rsidRPr="007435ED">
        <w:rPr>
          <w:sz w:val="28"/>
          <w:szCs w:val="28"/>
        </w:rPr>
        <w:t>биотрансформации</w:t>
      </w:r>
      <w:proofErr w:type="spellEnd"/>
      <w:r w:rsidRPr="007435ED">
        <w:rPr>
          <w:sz w:val="28"/>
          <w:szCs w:val="28"/>
        </w:rPr>
        <w:t xml:space="preserve">. Основные реакции метаболизма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>:</w:t>
      </w:r>
      <w:r w:rsidRPr="007435ED">
        <w:rPr>
          <w:sz w:val="28"/>
          <w:szCs w:val="28"/>
        </w:rPr>
        <w:tab/>
        <w:t>окисление, восстановление, гидролиз,</w:t>
      </w:r>
    </w:p>
    <w:p w:rsidR="00DD3EA5" w:rsidRPr="007435ED" w:rsidRDefault="00077A6F" w:rsidP="007435ED">
      <w:pPr>
        <w:pStyle w:val="1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proofErr w:type="spellStart"/>
      <w:r w:rsidRPr="007435ED">
        <w:rPr>
          <w:sz w:val="28"/>
          <w:szCs w:val="28"/>
        </w:rPr>
        <w:t>дегалогенирование</w:t>
      </w:r>
      <w:proofErr w:type="spellEnd"/>
      <w:r w:rsidRPr="007435ED">
        <w:rPr>
          <w:sz w:val="28"/>
          <w:szCs w:val="28"/>
        </w:rPr>
        <w:t>, конъюгация.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Принципы функционирования ферментативных систем. Характеристика ферментов, катализирующих метаболизм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>. Особенности ферментов, участвующих в реакциях окисления.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Факторы, влияющие на метаболизм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 xml:space="preserve">. Особенности метаболизма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 xml:space="preserve"> у различных организмов.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Металлы в живых системах и их биоцидные эффекты. </w:t>
      </w:r>
      <w:proofErr w:type="spellStart"/>
      <w:r w:rsidRPr="007435ED">
        <w:rPr>
          <w:sz w:val="28"/>
          <w:szCs w:val="28"/>
        </w:rPr>
        <w:t>Двухфазность</w:t>
      </w:r>
      <w:proofErr w:type="spellEnd"/>
      <w:r w:rsidRPr="007435ED">
        <w:rPr>
          <w:sz w:val="28"/>
          <w:szCs w:val="28"/>
        </w:rPr>
        <w:t xml:space="preserve"> реакции на действие тяжелых металлов.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</w:t>
      </w:r>
      <w:proofErr w:type="spellStart"/>
      <w:r w:rsidRPr="007435ED">
        <w:rPr>
          <w:sz w:val="28"/>
          <w:szCs w:val="28"/>
        </w:rPr>
        <w:t>Хелатообразование</w:t>
      </w:r>
      <w:proofErr w:type="spellEnd"/>
      <w:r w:rsidRPr="007435ED">
        <w:rPr>
          <w:sz w:val="28"/>
          <w:szCs w:val="28"/>
        </w:rPr>
        <w:t xml:space="preserve"> и снижение токсических эффектов.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firstLine="740"/>
        <w:rPr>
          <w:sz w:val="28"/>
          <w:szCs w:val="28"/>
        </w:rPr>
      </w:pPr>
      <w:r w:rsidRPr="007435ED">
        <w:rPr>
          <w:sz w:val="28"/>
          <w:szCs w:val="28"/>
        </w:rPr>
        <w:t xml:space="preserve"> Количественные аспекты связывания металлов </w:t>
      </w:r>
      <w:proofErr w:type="spellStart"/>
      <w:r w:rsidRPr="007435ED">
        <w:rPr>
          <w:sz w:val="28"/>
          <w:szCs w:val="28"/>
        </w:rPr>
        <w:t>лигандами</w:t>
      </w:r>
      <w:proofErr w:type="spellEnd"/>
      <w:r w:rsidRPr="007435ED">
        <w:rPr>
          <w:sz w:val="28"/>
          <w:szCs w:val="28"/>
        </w:rPr>
        <w:t>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7435ED">
        <w:rPr>
          <w:sz w:val="28"/>
          <w:szCs w:val="28"/>
        </w:rPr>
        <w:t xml:space="preserve"> Перспективы применения хелатообразующих соединений. Примеры </w:t>
      </w:r>
      <w:proofErr w:type="spellStart"/>
      <w:r w:rsidRPr="007435ED">
        <w:rPr>
          <w:sz w:val="28"/>
          <w:szCs w:val="28"/>
        </w:rPr>
        <w:t>биотрансформации</w:t>
      </w:r>
      <w:proofErr w:type="spellEnd"/>
      <w:r w:rsidRPr="007435ED">
        <w:rPr>
          <w:sz w:val="28"/>
          <w:szCs w:val="28"/>
        </w:rPr>
        <w:t xml:space="preserve"> неорганических соединений (неорганическая </w:t>
      </w:r>
      <w:r w:rsidRPr="007435ED">
        <w:rPr>
          <w:sz w:val="28"/>
          <w:szCs w:val="28"/>
        </w:rPr>
        <w:lastRenderedPageBreak/>
        <w:t>ртуть, цианиды, арсенаты и др.).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7435ED">
        <w:rPr>
          <w:sz w:val="28"/>
          <w:szCs w:val="28"/>
        </w:rPr>
        <w:t xml:space="preserve"> Коэффициенты накопления. Одн</w:t>
      </w:r>
      <w:proofErr w:type="gramStart"/>
      <w:r w:rsidRPr="007435ED">
        <w:rPr>
          <w:sz w:val="28"/>
          <w:szCs w:val="28"/>
        </w:rPr>
        <w:t>о-</w:t>
      </w:r>
      <w:proofErr w:type="gramEnd"/>
      <w:r w:rsidRPr="007435ED">
        <w:rPr>
          <w:sz w:val="28"/>
          <w:szCs w:val="28"/>
        </w:rPr>
        <w:t xml:space="preserve"> и </w:t>
      </w:r>
      <w:proofErr w:type="spellStart"/>
      <w:r w:rsidRPr="007435ED">
        <w:rPr>
          <w:sz w:val="28"/>
          <w:szCs w:val="28"/>
        </w:rPr>
        <w:t>многокомпартментные</w:t>
      </w:r>
      <w:proofErr w:type="spellEnd"/>
      <w:r w:rsidRPr="007435ED">
        <w:rPr>
          <w:sz w:val="28"/>
          <w:szCs w:val="28"/>
        </w:rPr>
        <w:t xml:space="preserve"> системы. Однократное и многократное дозирование.</w:t>
      </w:r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7435ED">
        <w:rPr>
          <w:sz w:val="28"/>
          <w:szCs w:val="28"/>
        </w:rPr>
        <w:t xml:space="preserve"> </w:t>
      </w:r>
      <w:proofErr w:type="gramStart"/>
      <w:r w:rsidRPr="007435ED">
        <w:rPr>
          <w:sz w:val="28"/>
          <w:szCs w:val="28"/>
        </w:rPr>
        <w:t xml:space="preserve">Факторы, влияющие на аккумулирование </w:t>
      </w:r>
      <w:proofErr w:type="spellStart"/>
      <w:r w:rsidRPr="007435ED">
        <w:rPr>
          <w:sz w:val="28"/>
          <w:szCs w:val="28"/>
        </w:rPr>
        <w:t>ксенобиотиков</w:t>
      </w:r>
      <w:proofErr w:type="spellEnd"/>
      <w:r w:rsidRPr="007435ED">
        <w:rPr>
          <w:sz w:val="28"/>
          <w:szCs w:val="28"/>
        </w:rPr>
        <w:t xml:space="preserve"> организмами (устойчивость, площадь поверхности, распределение веществ, биологические эффекты, цепь питания), классификация, характеристика.</w:t>
      </w:r>
      <w:proofErr w:type="gramEnd"/>
    </w:p>
    <w:p w:rsidR="00DD3EA5" w:rsidRPr="007435ED" w:rsidRDefault="00077A6F" w:rsidP="007435ED">
      <w:pPr>
        <w:pStyle w:val="1"/>
        <w:numPr>
          <w:ilvl w:val="0"/>
          <w:numId w:val="1"/>
        </w:numPr>
        <w:shd w:val="clear" w:color="auto" w:fill="auto"/>
        <w:spacing w:after="540" w:line="240" w:lineRule="auto"/>
        <w:ind w:left="20" w:right="20" w:firstLine="700"/>
        <w:rPr>
          <w:sz w:val="28"/>
          <w:szCs w:val="28"/>
        </w:rPr>
      </w:pPr>
      <w:r w:rsidRPr="007435ED">
        <w:rPr>
          <w:sz w:val="28"/>
          <w:szCs w:val="28"/>
        </w:rPr>
        <w:t xml:space="preserve"> Факторы, определяющие избирательность:</w:t>
      </w:r>
      <w:r w:rsidRPr="007435ED">
        <w:rPr>
          <w:sz w:val="28"/>
          <w:szCs w:val="28"/>
        </w:rPr>
        <w:tab/>
        <w:t xml:space="preserve">различия в </w:t>
      </w:r>
      <w:proofErr w:type="spellStart"/>
      <w:proofErr w:type="gramStart"/>
      <w:r w:rsidRPr="007435ED">
        <w:rPr>
          <w:sz w:val="28"/>
          <w:szCs w:val="28"/>
        </w:rPr>
        <w:t>в</w:t>
      </w:r>
      <w:proofErr w:type="spellEnd"/>
      <w:proofErr w:type="gramEnd"/>
      <w:r w:rsidRPr="007435ED">
        <w:rPr>
          <w:sz w:val="28"/>
          <w:szCs w:val="28"/>
        </w:rPr>
        <w:t xml:space="preserve"> распределении, биохимические и цитологические.</w:t>
      </w:r>
    </w:p>
    <w:p w:rsidR="00DD3EA5" w:rsidRPr="007435ED" w:rsidRDefault="00DD3EA5" w:rsidP="007435ED">
      <w:pPr>
        <w:pStyle w:val="1"/>
        <w:shd w:val="clear" w:color="auto" w:fill="auto"/>
        <w:spacing w:line="240" w:lineRule="auto"/>
        <w:ind w:left="720" w:right="20"/>
        <w:rPr>
          <w:sz w:val="28"/>
          <w:szCs w:val="28"/>
        </w:rPr>
      </w:pPr>
    </w:p>
    <w:sectPr w:rsidR="00DD3EA5" w:rsidRPr="007435ED" w:rsidSect="007435ED">
      <w:type w:val="continuous"/>
      <w:pgSz w:w="11909" w:h="16838"/>
      <w:pgMar w:top="709" w:right="1096" w:bottom="1552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EA" w:rsidRDefault="008D32EA">
      <w:r>
        <w:separator/>
      </w:r>
    </w:p>
  </w:endnote>
  <w:endnote w:type="continuationSeparator" w:id="0">
    <w:p w:rsidR="008D32EA" w:rsidRDefault="008D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EA" w:rsidRDefault="008D32EA"/>
  </w:footnote>
  <w:footnote w:type="continuationSeparator" w:id="0">
    <w:p w:rsidR="008D32EA" w:rsidRDefault="008D32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6E1"/>
    <w:multiLevelType w:val="multilevel"/>
    <w:tmpl w:val="ECC49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A270FE"/>
    <w:multiLevelType w:val="multilevel"/>
    <w:tmpl w:val="106C6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3EA5"/>
    <w:rsid w:val="00077A6F"/>
    <w:rsid w:val="0015381C"/>
    <w:rsid w:val="007435ED"/>
    <w:rsid w:val="008D32EA"/>
    <w:rsid w:val="00D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2018-10-26T08:30:00Z</cp:lastPrinted>
  <dcterms:created xsi:type="dcterms:W3CDTF">2018-10-18T09:57:00Z</dcterms:created>
  <dcterms:modified xsi:type="dcterms:W3CDTF">2018-10-26T08:31:00Z</dcterms:modified>
</cp:coreProperties>
</file>