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62" w:rsidRPr="00C07AC3" w:rsidRDefault="004B6862" w:rsidP="004B6862">
      <w:pPr>
        <w:pStyle w:val="40"/>
        <w:shd w:val="clear" w:color="auto" w:fill="auto"/>
        <w:spacing w:before="0" w:after="0" w:line="240" w:lineRule="auto"/>
        <w:ind w:left="260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>Перечень вопросов к зачету</w:t>
      </w:r>
      <w:r w:rsidR="00350AC3">
        <w:rPr>
          <w:color w:val="000000"/>
          <w:spacing w:val="0"/>
          <w:sz w:val="28"/>
          <w:szCs w:val="28"/>
          <w:lang w:eastAsia="ru-RU" w:bidi="ru-RU"/>
        </w:rPr>
        <w:t xml:space="preserve"> Вирусология 4курс БиХ</w:t>
      </w:r>
      <w:bookmarkStart w:id="0" w:name="_GoBack"/>
      <w:bookmarkEnd w:id="0"/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280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Происхождение и природа вирусов. Отличие их от других микроорганизмов.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Вирусы - внутриклеточные паразит ы на генетическом уровне.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Вирион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. Формы, размеры, тип симметрии.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Нуклеиновые кислоты вирусов, их особенности, функции.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280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Вирионные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(структурные) белки. Их свойства и отличия от клеточных белков.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280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Структура и функции вирусных белков, их особенности, антигенная вариабельность вирионов.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Принципы классификации вирусов. Номенклатура вирусов.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Подготовка вируссодержащего материала к исследованию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поксвирусов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рабдовирусов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герпесвирусов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асфавирусов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папилломавирусов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полиомавирусов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парвовирусов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Характерист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ортомиксовирусов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парамиксовирусов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18. </w:t>
      </w:r>
      <w:r>
        <w:rPr>
          <w:spacing w:val="0"/>
          <w:sz w:val="28"/>
          <w:szCs w:val="28"/>
        </w:rPr>
        <w:t xml:space="preserve">    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Характеристика семейства аденовирусов.</w:t>
      </w:r>
    </w:p>
    <w:p w:rsidR="004B6862" w:rsidRPr="00C07AC3" w:rsidRDefault="004B6862" w:rsidP="004B6862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Харак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тогавирусов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флавивирусов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пикорпавирусов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22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  <w:r>
        <w:rPr>
          <w:spacing w:val="0"/>
          <w:sz w:val="28"/>
          <w:szCs w:val="28"/>
        </w:rPr>
        <w:t xml:space="preserve">    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семейства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ретровирусов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Взаимодействие между вирусом и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клетой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-хозяином.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Ген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етическое взаимодействие между вирусами (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комплементация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, рекомбинация).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Н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егенетическое взаимодействие вирусов (интерференция, фенотипическое смешение).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Особенности взаимодействие с клеткой вирулентных и умеренных фагов.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Бактериофаги как переносчики генетической информации бактерий.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Использование фагов в генетической инженерии в качестве векторов генетической информации.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'Трансформация клеток ДНК-вирусами.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Вирусы гриппа. Общая характеристика (биологические особенности, классификация).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Лабораторные животные - цель использования, виды животных, требования предъявляемые к ним.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Методы экспериментального заражения лабораторных животных.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11ризнаки размножения вируса в организме лабораторных животных.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Куриные эмбрионы - цель использования, требования предъявляемые к ним. Строение куриного эмбриона.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 Признаки размножения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вируса в организме куриных эмбрионов. Вскрытие зараженных куриных эмбрионов и получение вируссодержащего материала.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Использование культур клеток Культивирование вируса в культуре клеток.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Характеристика первично-</w:t>
      </w:r>
      <w:proofErr w:type="spellStart"/>
      <w:r>
        <w:rPr>
          <w:spacing w:val="0"/>
          <w:sz w:val="28"/>
          <w:szCs w:val="28"/>
        </w:rPr>
        <w:t>трипсин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изированных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культур клеток.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субкультур.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Характеристика перевиваемых культур клеток.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Харак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теристика диплоидных культур клеток.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Питательные среды, солевые растворы и естественно-биологические жидкости, применяемые для культивирования клеток.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Индикация вируса в зараженных клеточных культурах.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Цитопатогенпое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действие вируса на клетку, методика обнаружения ЦП Д.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Репродукция /ЦТК-содержащих вирусов.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Репродукция РНК-содержащ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их вирусов с позитивным геномом.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Репродукция РИК-содержащих вирусов с негативным геномом.</w:t>
      </w:r>
    </w:p>
    <w:p w:rsidR="004B6862" w:rsidRPr="00C07AC3" w:rsidRDefault="004B6862" w:rsidP="004B6862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Первый этап репродукции.</w:t>
      </w:r>
    </w:p>
    <w:p w:rsidR="004B6862" w:rsidRPr="00C07AC3" w:rsidRDefault="004B6862" w:rsidP="004B6862">
      <w:pPr>
        <w:pStyle w:val="1"/>
        <w:shd w:val="clear" w:color="auto" w:fill="auto"/>
        <w:tabs>
          <w:tab w:val="left" w:pos="4305"/>
        </w:tabs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spacing w:val="0"/>
          <w:sz w:val="28"/>
          <w:szCs w:val="28"/>
        </w:rPr>
        <w:t>4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7. </w:t>
      </w:r>
      <w:r>
        <w:rPr>
          <w:spacing w:val="0"/>
          <w:sz w:val="28"/>
          <w:szCs w:val="28"/>
        </w:rPr>
        <w:t xml:space="preserve">    </w:t>
      </w:r>
      <w:proofErr w:type="spellStart"/>
      <w:r>
        <w:rPr>
          <w:spacing w:val="0"/>
          <w:sz w:val="28"/>
          <w:szCs w:val="28"/>
        </w:rPr>
        <w:t>Депротеинизация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  <w:r>
        <w:rPr>
          <w:spacing w:val="0"/>
          <w:sz w:val="28"/>
          <w:szCs w:val="28"/>
        </w:rPr>
        <w:tab/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Адсорбция вируса па клетке.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Обратимая и необратимая адсорбция.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Выход вируса из клетки: «лизис», «почкование».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Особенность репродукции </w:t>
      </w:r>
      <w:proofErr w:type="spellStart"/>
      <w:r w:rsidRPr="00C07AC3">
        <w:rPr>
          <w:color w:val="000000"/>
          <w:spacing w:val="0"/>
          <w:sz w:val="28"/>
          <w:szCs w:val="28"/>
          <w:lang w:eastAsia="ru-RU" w:bidi="ru-RU"/>
        </w:rPr>
        <w:t>ретровирусов</w:t>
      </w:r>
      <w:proofErr w:type="spellEnd"/>
      <w:r w:rsidRPr="00C07AC3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Интегративный тип инфекции.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Продуктивный тип инфекции.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Абортивный тип инфекции.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РДП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РСК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РГА, РТГА, РИГА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РИФ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РН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ПЦ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Р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ДНК-зонды,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ИФА - принцип, постановка, оценка, использование.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tabs>
          <w:tab w:val="center" w:pos="567"/>
          <w:tab w:val="left" w:pos="3836"/>
        </w:tabs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Типы вакцин: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ab/>
        <w:t>живые,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ab/>
        <w:t>инактивированные, рекомбинантные - их</w:t>
      </w:r>
    </w:p>
    <w:p w:rsidR="004B6862" w:rsidRPr="00C07AC3" w:rsidRDefault="004B6862" w:rsidP="004B6862">
      <w:pPr>
        <w:pStyle w:val="1"/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>характеристики, способы их получения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Типы вакцин: живые, инактивированные, рекомбинантные - способы их получения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C07AC3">
        <w:rPr>
          <w:color w:val="000000"/>
          <w:spacing w:val="0"/>
          <w:sz w:val="28"/>
          <w:szCs w:val="28"/>
          <w:lang w:eastAsia="ru-RU" w:bidi="ru-RU"/>
        </w:rPr>
        <w:t xml:space="preserve"> Химиотерапия вирусных инфекций.</w:t>
      </w:r>
    </w:p>
    <w:p w:rsidR="004B6862" w:rsidRPr="00C07AC3" w:rsidRDefault="004B6862" w:rsidP="004B6862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Пре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имущества и недостатки живых, инактивиров</w:t>
      </w:r>
      <w:r>
        <w:rPr>
          <w:spacing w:val="0"/>
          <w:sz w:val="28"/>
          <w:szCs w:val="28"/>
        </w:rPr>
        <w:t>анных, субъединичных, рекомбинан</w:t>
      </w:r>
      <w:r w:rsidRPr="00C07AC3">
        <w:rPr>
          <w:color w:val="000000"/>
          <w:spacing w:val="0"/>
          <w:sz w:val="28"/>
          <w:szCs w:val="28"/>
          <w:lang w:eastAsia="ru-RU" w:bidi="ru-RU"/>
        </w:rPr>
        <w:t>тных вакцин.</w:t>
      </w:r>
    </w:p>
    <w:p w:rsidR="00E53D18" w:rsidRDefault="00E53D18"/>
    <w:sectPr w:rsidR="00E53D18" w:rsidSect="004B6862">
      <w:pgSz w:w="11909" w:h="16838"/>
      <w:pgMar w:top="1190" w:right="1109" w:bottom="1190" w:left="11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144"/>
    <w:multiLevelType w:val="multilevel"/>
    <w:tmpl w:val="685857B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4096C"/>
    <w:multiLevelType w:val="multilevel"/>
    <w:tmpl w:val="52AE7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A2DF7"/>
    <w:multiLevelType w:val="multilevel"/>
    <w:tmpl w:val="4C2C9E8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54F7C"/>
    <w:multiLevelType w:val="multilevel"/>
    <w:tmpl w:val="2BB4EA0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86"/>
    <w:rsid w:val="00350AC3"/>
    <w:rsid w:val="004B6862"/>
    <w:rsid w:val="005B1B94"/>
    <w:rsid w:val="006B1886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B686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4B686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6862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4B6862"/>
    <w:pPr>
      <w:widowControl w:val="0"/>
      <w:shd w:val="clear" w:color="auto" w:fill="FFFFFF"/>
      <w:spacing w:before="60" w:after="0" w:line="326" w:lineRule="exact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B686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4B686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6862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4B6862"/>
    <w:pPr>
      <w:widowControl w:val="0"/>
      <w:shd w:val="clear" w:color="auto" w:fill="FFFFFF"/>
      <w:spacing w:before="60" w:after="0" w:line="326" w:lineRule="exac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2018-10-26T08:28:00Z</cp:lastPrinted>
  <dcterms:created xsi:type="dcterms:W3CDTF">2018-10-17T06:21:00Z</dcterms:created>
  <dcterms:modified xsi:type="dcterms:W3CDTF">2018-10-26T08:29:00Z</dcterms:modified>
</cp:coreProperties>
</file>